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b/>
          <w:sz w:val="28"/>
        </w:rPr>
      </w:pPr>
      <w:r>
        <w:rPr>
          <w:b/>
          <w:sz w:val="28"/>
        </w:rPr>
        <w:t xml:space="preserve">АКТ № [docNum]</w:t>
      </w:r>
      <w:r/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приема-передачи услуг </w:t>
      </w:r>
      <w:r/>
    </w:p>
    <w:p>
      <w:pPr>
        <w:jc w:val="right"/>
        <w:tabs>
          <w:tab w:val="left" w:pos="356" w:leader="none"/>
        </w:tabs>
      </w:pPr>
      <w:r>
        <w:t xml:space="preserve">[docDate]</w:t>
      </w:r>
      <w:r/>
    </w:p>
    <w:p>
      <w:pPr>
        <w:jc w:val="both"/>
      </w:pPr>
      <w:r>
        <w:rPr>
          <w:b/>
        </w:rPr>
        <w:t xml:space="preserve">[castUrName]</w:t>
      </w:r>
      <w:r>
        <w:t xml:space="preserve"> именуемое в дальнейшем «Заказчик», в лице [castDirName], действующего на основании [castDirOsnovanie], с одной стороны, и [</w:t>
      </w:r>
      <w:r>
        <w:rPr>
          <w:b/>
        </w:rPr>
        <w:t xml:space="preserve">compUrName]</w:t>
      </w:r>
      <w:r>
        <w:t xml:space="preserve">, именуемое в дальнейшем «Исполнитель», в лице</w:t>
      </w:r>
      <w:r>
        <w:t xml:space="preserve"> [castDirStatus] [compDirName], действующего на основании [compDirOsnovanie], с другой стороны, именуемые в дальнейшем «Стороны», подписали настоящий акт к [dogNum] от [dogDate] г. (далее по тексту - Договор), заключенному между Сторонами, о нижеследующем:</w:t>
      </w:r>
      <w:r/>
    </w:p>
    <w:p>
      <w:r>
        <w:t xml:space="preserve">1. В соответствии с условиями "Договора" "Исполнитель" надлежащим образом оказал "Заказчику" следующие услуги:</w:t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52"/>
        <w:gridCol w:w="1459"/>
        <w:gridCol w:w="1205"/>
        <w:gridCol w:w="1373"/>
        <w:gridCol w:w="1326"/>
      </w:tblGrid>
      <w:tr>
        <w:trPr>
          <w:trHeight w:val="579"/>
        </w:trPr>
        <w:tc>
          <w:tcPr>
            <w:shd w:val="pct10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</w:t>
            </w:r>
            <w:r/>
          </w:p>
        </w:tc>
        <w:tc>
          <w:tcPr>
            <w:shd w:val="pct10" w:color="auto" w:fill="auto"/>
            <w:tcW w:w="38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</w:t>
            </w:r>
            <w:r/>
          </w:p>
        </w:tc>
        <w:tc>
          <w:tcPr>
            <w:shd w:val="pct10" w:color="auto" w:fill="auto"/>
            <w:tcW w:w="14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Ед.изм.</w:t>
            </w:r>
            <w:r/>
          </w:p>
        </w:tc>
        <w:tc>
          <w:tcPr>
            <w:shd w:val="pct10" w:color="auto" w:fill="auto"/>
            <w:tcW w:w="12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Кол-во</w:t>
            </w:r>
            <w:r/>
          </w:p>
        </w:tc>
        <w:tc>
          <w:tcPr>
            <w:shd w:val="pct10" w:color="auto" w:fill="auto"/>
            <w:tcW w:w="13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Цена, руб.</w:t>
            </w:r>
            <w:r/>
          </w:p>
        </w:tc>
        <w:tc>
          <w:tcPr>
            <w:shd w:val="pct10" w:color="auto" w:fill="auto"/>
            <w:tcW w:w="13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Сумма, руб.</w:t>
            </w:r>
            <w:r/>
          </w:p>
        </w:tc>
      </w:tr>
      <w:tr>
        <w:trPr>
          <w:trHeight w:val="403"/>
        </w:trPr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pStyle w:val="17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[speka.Number;block=tbs:row]</w:t>
            </w:r>
            <w:r/>
          </w:p>
        </w:tc>
        <w:tc>
          <w:tcPr>
            <w:shd w:val="clear" w:color="auto" w:fill="auto"/>
            <w:tcW w:w="3852" w:type="dxa"/>
            <w:vAlign w:val="center"/>
            <w:textDirection w:val="lrTb"/>
            <w:noWrap w:val="false"/>
          </w:tcPr>
          <w:p>
            <w:pPr>
              <w:pStyle w:val="178"/>
            </w:pPr>
            <w:r>
              <w:t xml:space="preserve">[speka.Title]</w:t>
            </w:r>
            <w:r/>
          </w:p>
        </w:tc>
        <w:tc>
          <w:tcPr>
            <w:shd w:val="clear" w:color="auto" w:fill="auto"/>
            <w:tcW w:w="1459" w:type="dxa"/>
            <w:vAlign w:val="center"/>
            <w:textDirection w:val="lrTb"/>
            <w:noWrap w:val="false"/>
          </w:tcPr>
          <w:p>
            <w:pPr>
              <w:pStyle w:val="178"/>
              <w:jc w:val="center"/>
            </w:pPr>
            <w:r>
              <w:t xml:space="preserve">[speka.Edizm]</w:t>
            </w:r>
            <w:r/>
          </w:p>
        </w:tc>
        <w:tc>
          <w:tcPr>
            <w:shd w:val="clear" w:color="auto" w:fill="auto"/>
            <w:tcW w:w="1205" w:type="dxa"/>
            <w:vAlign w:val="center"/>
            <w:textDirection w:val="lrTb"/>
            <w:noWrap w:val="false"/>
          </w:tcPr>
          <w:p>
            <w:pPr>
              <w:pStyle w:val="178"/>
              <w:jc w:val="right"/>
            </w:pPr>
            <w:r>
              <w:t xml:space="preserve">[speka.Kol]</w:t>
            </w:r>
            <w:r/>
          </w:p>
        </w:tc>
        <w:tc>
          <w:tcPr>
            <w:shd w:val="clear" w:color="auto" w:fill="auto"/>
            <w:tcW w:w="1373" w:type="dxa"/>
            <w:vAlign w:val="center"/>
            <w:textDirection w:val="lrTb"/>
            <w:noWrap w:val="false"/>
          </w:tcPr>
          <w:p>
            <w:pPr>
              <w:pStyle w:val="178"/>
              <w:jc w:val="right"/>
            </w:pPr>
            <w:r>
              <w:t xml:space="preserve">[speka.Price]</w:t>
            </w:r>
            <w:r/>
          </w:p>
        </w:tc>
        <w:tc>
          <w:tcPr>
            <w:shd w:val="clear" w:color="auto" w:fill="auto"/>
            <w:tcW w:w="1326" w:type="dxa"/>
            <w:vAlign w:val="center"/>
            <w:textDirection w:val="lrTb"/>
            <w:noWrap w:val="false"/>
          </w:tcPr>
          <w:p>
            <w:pPr>
              <w:pStyle w:val="178"/>
              <w:jc w:val="right"/>
            </w:pPr>
            <w:r>
              <w:t xml:space="preserve">[speka.Sum]</w:t>
            </w:r>
            <w:r/>
          </w:p>
        </w:tc>
      </w:tr>
      <w:tr>
        <w:trPr>
          <w:trHeight w:val="422"/>
        </w:trPr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jc w:val="right"/>
              <w:spacing w:lineRule="auto" w:line="240" w:after="0"/>
            </w:pPr>
            <w:r/>
            <w:r/>
          </w:p>
        </w:tc>
        <w:tc>
          <w:tcPr>
            <w:shd w:val="clear" w:color="auto" w:fill="auto"/>
            <w:tcW w:w="385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W w:w="14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</w:pPr>
            <w:r>
              <w:t xml:space="preserve">х</w:t>
            </w:r>
            <w:r/>
          </w:p>
        </w:tc>
        <w:tc>
          <w:tcPr>
            <w:shd w:val="clear" w:color="auto" w:fill="auto"/>
            <w:tcW w:w="1205" w:type="dxa"/>
            <w:vAlign w:val="center"/>
            <w:textDirection w:val="lrTb"/>
            <w:noWrap w:val="false"/>
          </w:tcPr>
          <w:p>
            <w:pPr>
              <w:pStyle w:val="178"/>
              <w:jc w:val="right"/>
              <w:rPr>
                <w:b/>
              </w:rPr>
            </w:pPr>
            <w:r>
              <w:rPr>
                <w:b/>
              </w:rPr>
              <w:t xml:space="preserve">[spekaKol]</w:t>
            </w:r>
            <w:r/>
          </w:p>
        </w:tc>
        <w:tc>
          <w:tcPr>
            <w:shd w:val="clear" w:color="auto" w:fill="auto"/>
            <w:tcW w:w="137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</w:pPr>
            <w:r>
              <w:t xml:space="preserve">х</w:t>
            </w:r>
            <w:r/>
          </w:p>
        </w:tc>
        <w:tc>
          <w:tcPr>
            <w:shd w:val="clear" w:color="auto" w:fill="auto"/>
            <w:tcW w:w="1326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b/>
              </w:rPr>
            </w:pPr>
            <w:r>
              <w:rPr>
                <w:b/>
              </w:rPr>
              <w:t xml:space="preserve">[spekaSum]</w:t>
            </w:r>
            <w:r/>
          </w:p>
        </w:tc>
      </w:tr>
    </w:tbl>
    <w:p>
      <w:pPr>
        <w:jc w:val="both"/>
      </w:pPr>
      <w:r>
        <w:br/>
        <w:t xml:space="preserve">2. Указанные услуги выполнены в полном объеме способом, предусмотренным "Договором", в сроки, установленные "Договором".</w:t>
      </w:r>
      <w:r/>
    </w:p>
    <w:p>
      <w:pPr>
        <w:jc w:val="both"/>
      </w:pPr>
      <w:r>
        <w:t xml:space="preserve">3. "Заказчик" не имеет к "Исполнителю" каких-либо претензий относительно качества оказанных услуг.</w:t>
      </w:r>
      <w:r/>
    </w:p>
    <w:p>
      <w:pPr>
        <w:jc w:val="both"/>
      </w:pPr>
      <w:r>
        <w:t xml:space="preserve">4. Настоящий акт подписан в 2 (двух) подлинных экземплярах на русском языке по одному для каждой из "Сторон".</w:t>
      </w:r>
      <w:r/>
    </w:p>
    <w:p>
      <w:pPr>
        <w:rPr>
          <w:b/>
        </w:rPr>
      </w:pPr>
      <w:r>
        <w:rPr>
          <w:b/>
        </w:rPr>
      </w:r>
      <w:r/>
    </w:p>
    <w:tbl>
      <w:tblPr>
        <w:tblW w:w="5000" w:type="pct"/>
        <w:tblCellSpacing w:w="1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49"/>
        <w:gridCol w:w="227"/>
        <w:gridCol w:w="4847"/>
      </w:tblGrid>
      <w:tr>
        <w:trPr>
          <w:cantSplit/>
          <w:tblCellSpacing w:w="15" w:type="dxa"/>
        </w:trPr>
        <w:tc>
          <w:tcPr>
            <w:tcW w:w="2421" w:type="pct"/>
            <w:textDirection w:val="lrTb"/>
            <w:noWrap w:val="false"/>
          </w:tcPr>
          <w:p>
            <w:pPr>
              <w:rPr>
                <w:b/>
                <w:lang w:val="en-US"/>
              </w:rPr>
            </w:pPr>
            <w:r>
              <w:rPr>
                <w:b/>
              </w:rPr>
              <w:t xml:space="preserve">ЗАКАЗЧИК</w:t>
            </w:r>
            <w:r>
              <w:rPr>
                <w:b/>
                <w:lang w:val="en-US"/>
              </w:rPr>
              <w:t xml:space="preserve">: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[castUrName]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ИНН</w:t>
            </w:r>
            <w:r>
              <w:rPr>
                <w:lang w:val="en-US"/>
              </w:rPr>
              <w:t xml:space="preserve">: [castInn], </w:t>
            </w:r>
            <w:r>
              <w:t xml:space="preserve">КПП</w:t>
            </w:r>
            <w:r>
              <w:rPr>
                <w:lang w:val="en-US"/>
              </w:rPr>
              <w:t xml:space="preserve">: castKpp]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ОГРН</w:t>
            </w:r>
            <w:r>
              <w:rPr>
                <w:lang w:val="en-US"/>
              </w:rPr>
              <w:t xml:space="preserve">: [castOgrn]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Адрес</w:t>
            </w:r>
            <w:r>
              <w:rPr>
                <w:lang w:val="en-US"/>
              </w:rPr>
              <w:t xml:space="preserve">: [castUrAddr]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Р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[castBankRs]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Банк</w:t>
            </w:r>
            <w:r>
              <w:rPr>
                <w:lang w:val="en-US"/>
              </w:rPr>
              <w:t xml:space="preserve">: [castBank]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БИК</w:t>
            </w:r>
            <w:r>
              <w:rPr>
                <w:lang w:val="en-US"/>
              </w:rPr>
              <w:t xml:space="preserve">: [castBankBik]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К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[castBankKs]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___________________ / [castDirSignature] /</w:t>
            </w:r>
            <w:r/>
          </w:p>
          <w:p>
            <w:pPr>
              <w:rPr>
                <w:lang w:val="en-US"/>
              </w:rPr>
            </w:pP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/>
          </w:p>
        </w:tc>
        <w:tc>
          <w:tcPr>
            <w:tcW w:w="99" w:type="pct"/>
            <w:vAlign w:val="center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 </w:t>
            </w:r>
            <w:r/>
          </w:p>
        </w:tc>
        <w:tc>
          <w:tcPr>
            <w:tcW w:w="2420" w:type="pct"/>
            <w:textDirection w:val="lrTb"/>
            <w:noWrap w:val="false"/>
          </w:tcPr>
          <w:p>
            <w:pPr>
              <w:rPr>
                <w:b/>
                <w:lang w:val="en-US"/>
              </w:rPr>
            </w:pPr>
            <w:r>
              <w:rPr>
                <w:b/>
              </w:rPr>
              <w:t xml:space="preserve">ИСПОЛНИТЕЛЬ</w:t>
            </w:r>
            <w:r>
              <w:rPr>
                <w:b/>
                <w:lang w:val="en-US"/>
              </w:rPr>
              <w:t xml:space="preserve">: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[compUrName]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ИНН</w:t>
            </w:r>
            <w:r>
              <w:rPr>
                <w:lang w:val="en-US"/>
              </w:rPr>
              <w:t xml:space="preserve">: [compInn], </w:t>
            </w:r>
            <w:r>
              <w:t xml:space="preserve">КПП</w:t>
            </w:r>
            <w:r>
              <w:rPr>
                <w:lang w:val="en-US"/>
              </w:rPr>
              <w:t xml:space="preserve">: [compKpp]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ОГРН</w:t>
            </w:r>
            <w:r>
              <w:rPr>
                <w:lang w:val="en-US"/>
              </w:rPr>
              <w:t xml:space="preserve">: [compOgrn]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Адрес</w:t>
            </w:r>
            <w:r>
              <w:rPr>
                <w:lang w:val="en-US"/>
              </w:rPr>
              <w:t xml:space="preserve">: 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Р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[compBankRs]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Банк</w:t>
            </w:r>
            <w:r>
              <w:rPr>
                <w:lang w:val="en-US"/>
              </w:rPr>
              <w:t xml:space="preserve">: [compBank]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БИК</w:t>
            </w:r>
            <w:r>
              <w:rPr>
                <w:lang w:val="en-US"/>
              </w:rPr>
              <w:t xml:space="preserve">: [compBankBik]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К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[compBankKs]</w:t>
            </w:r>
            <w:r/>
          </w:p>
          <w:p>
            <w:pPr>
              <w:rPr>
                <w:lang w:val="en-US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94567</wp:posOffset>
                      </wp:positionH>
                      <wp:positionV relativeFrom="paragraph">
                        <wp:posOffset>82550</wp:posOffset>
                      </wp:positionV>
                      <wp:extent cx="1663065" cy="1663065"/>
                      <wp:effectExtent l="0" t="0" r="0" b="0"/>
                      <wp:wrapNone/>
                      <wp:docPr id="1" name="Рисунок 1" descr="[onshow.compSignature;ope=changepic;from=compSignature;tagpos=inside;]" hidden="false"/>
                      <wp:cNvGraphicFramePr>
                        <a:graphicFrameLocks xmlns:a="http://schemas.openxmlformats.org/drawingml/2006/main" noChangeAspect="true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Рисунок 1" descr="[onshow.compSignature;ope=changepic;from=compSignature;tagpos=inside;]" hidden="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663065" cy="16630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text;margin-left:7.4pt;mso-position-horizontal:absolute;mso-position-vertical-relative:text;margin-top:6.5pt;mso-position-vertical:absolute;width:130.9pt;height:130.9pt;rotation:0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______________________/ [compDirSignature] /</w:t>
            </w:r>
            <w:r/>
          </w:p>
          <w:p>
            <w:pPr>
              <w:rPr>
                <w:lang w:val="en-US"/>
              </w:rPr>
            </w:pP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/>
          </w:p>
        </w:tc>
      </w:tr>
    </w:tbl>
    <w:p>
      <w:r/>
      <w:bookmarkStart w:id="0" w:name="_GoBack"/>
      <w:r/>
      <w:bookmarkEnd w:id="0"/>
      <w:r/>
      <w:r/>
    </w:p>
    <w:sectPr>
      <w:footnotePr/>
      <w:type w:val="nextPage"/>
      <w:pgSz w:w="11906" w:h="16838" w:orient="portrait"/>
      <w:pgMar w:top="851" w:right="707" w:bottom="709" w:left="1276" w:header="720" w:footer="720" w:gutter="0"/>
      <w:cols w:num="1" w:sep="0" w:space="720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</w:lvl>
    <w:lvl w:ilvl="2">
      <w:start w:val="1"/>
      <w:numFmt w:val="lowerRoman"/>
      <w:suff w:val="tab"/>
      <w:lvlText w:val="%3."/>
      <w:lvlJc w:val="right"/>
      <w:pPr>
        <w:ind w:left="2160" w:hanging="180"/>
      </w:pPr>
    </w:lvl>
    <w:lvl w:ilvl="3">
      <w:start w:val="1"/>
      <w:numFmt w:val="decimal"/>
      <w:suff w:val="tab"/>
      <w:lvlText w:val="%4."/>
      <w:lvlJc w:val="left"/>
      <w:pPr>
        <w:ind w:left="2880" w:hanging="360"/>
      </w:pPr>
    </w:lvl>
    <w:lvl w:ilvl="4">
      <w:start w:val="1"/>
      <w:numFmt w:val="lowerLetter"/>
      <w:suff w:val="tab"/>
      <w:lvlText w:val="%5."/>
      <w:lvlJc w:val="left"/>
      <w:pPr>
        <w:ind w:left="3600" w:hanging="360"/>
      </w:pPr>
    </w:lvl>
    <w:lvl w:ilvl="5">
      <w:start w:val="1"/>
      <w:numFmt w:val="lowerRoman"/>
      <w:suff w:val="tab"/>
      <w:lvlText w:val="%6."/>
      <w:lvlJc w:val="right"/>
      <w:pPr>
        <w:ind w:left="4320" w:hanging="180"/>
      </w:pPr>
    </w:lvl>
    <w:lvl w:ilvl="6">
      <w:start w:val="1"/>
      <w:numFmt w:val="decimal"/>
      <w:suff w:val="tab"/>
      <w:lvlText w:val="%7."/>
      <w:lvlJc w:val="left"/>
      <w:pPr>
        <w:ind w:left="5040" w:hanging="360"/>
      </w:pPr>
    </w:lvl>
    <w:lvl w:ilvl="7">
      <w:start w:val="1"/>
      <w:numFmt w:val="lowerLetter"/>
      <w:suff w:val="tab"/>
      <w:lvlText w:val="%8."/>
      <w:lvlJc w:val="left"/>
      <w:pPr>
        <w:ind w:left="5760" w:hanging="360"/>
      </w:pPr>
    </w:lvl>
    <w:lvl w:ilvl="8">
      <w:start w:val="1"/>
      <w:numFmt w:val="lowerRoman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color w:val="auto"/>
        <w:spacing w:val="0"/>
        <w:position w:val="0"/>
        <w:sz w:val="20"/>
        <w:szCs w:val="22"/>
        <w:lang w:val="ru-RU" w:bidi="ar-SA" w:eastAsia="ru-RU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164"/>
    <w:next w:val="164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165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164"/>
    <w:next w:val="164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165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164"/>
    <w:next w:val="164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165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164"/>
    <w:next w:val="164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165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164"/>
    <w:next w:val="164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165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164"/>
    <w:next w:val="164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165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164"/>
    <w:next w:val="164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165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164"/>
    <w:next w:val="164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165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164"/>
    <w:next w:val="164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165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164"/>
    <w:next w:val="164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165"/>
    <w:link w:val="32"/>
    <w:uiPriority w:val="10"/>
    <w:rPr>
      <w:sz w:val="48"/>
      <w:szCs w:val="48"/>
    </w:rPr>
  </w:style>
  <w:style w:type="paragraph" w:styleId="34">
    <w:name w:val="Subtitle"/>
    <w:basedOn w:val="164"/>
    <w:next w:val="164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165"/>
    <w:link w:val="34"/>
    <w:uiPriority w:val="11"/>
    <w:rPr>
      <w:sz w:val="24"/>
      <w:szCs w:val="24"/>
    </w:rPr>
  </w:style>
  <w:style w:type="paragraph" w:styleId="36">
    <w:name w:val="Quote"/>
    <w:basedOn w:val="164"/>
    <w:next w:val="164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164"/>
    <w:next w:val="164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164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165"/>
    <w:link w:val="40"/>
    <w:uiPriority w:val="99"/>
  </w:style>
  <w:style w:type="paragraph" w:styleId="42">
    <w:name w:val="Footer"/>
    <w:basedOn w:val="164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165"/>
    <w:link w:val="42"/>
    <w:uiPriority w:val="99"/>
  </w:style>
  <w:style w:type="table" w:styleId="45">
    <w:name w:val="Lined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">
    <w:name w:val="Lined - Accent 1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7">
    <w:name w:val="Lined - Accent 2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8">
    <w:name w:val="Lined - Accent 3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9">
    <w:name w:val="Lined - Accent 4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0">
    <w:name w:val="Lined - Accent 5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1">
    <w:name w:val="Lined - Accent 6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2">
    <w:name w:val="Bordered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3">
    <w:name w:val="Bordered - Accent 1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4">
    <w:name w:val="Bordered - Accent 2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">
    <w:name w:val="Bordered - Accent 3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6">
    <w:name w:val="Bordered - Accent 4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7">
    <w:name w:val="Bordered - Accent 5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8">
    <w:name w:val="Bordered - Accent 6"/>
    <w:basedOn w:val="1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9">
    <w:name w:val="Bordered &amp; Lined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0">
    <w:name w:val="Bordered &amp; Lined - Accent 1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1">
    <w:name w:val="Bordered &amp; Lined - Accent 2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">
    <w:name w:val="Bordered &amp; Lined - Accent 3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">
    <w:name w:val="Bordered &amp; Lined - Accent 4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4">
    <w:name w:val="Bordered &amp; Lined - Accent 5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5">
    <w:name w:val="Bordered &amp; Lined - Accent 6"/>
    <w:basedOn w:val="16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6">
    <w:name w:val="Hyperlink"/>
    <w:uiPriority w:val="99"/>
    <w:unhideWhenUsed/>
    <w:rPr>
      <w:color w:val="0000FF" w:themeColor="hyperlink"/>
      <w:u w:val="single"/>
    </w:rPr>
  </w:style>
  <w:style w:type="paragraph" w:styleId="67">
    <w:name w:val="footnote text"/>
    <w:basedOn w:val="164"/>
    <w:link w:val="68"/>
    <w:uiPriority w:val="99"/>
    <w:semiHidden/>
    <w:unhideWhenUsed/>
    <w:rPr>
      <w:sz w:val="18"/>
    </w:rPr>
    <w:pPr>
      <w:spacing w:lineRule="auto" w:line="240" w:after="40"/>
    </w:pPr>
  </w:style>
  <w:style w:type="character" w:styleId="68">
    <w:name w:val="Footnote Text Char"/>
    <w:link w:val="67"/>
    <w:uiPriority w:val="99"/>
    <w:rPr>
      <w:sz w:val="18"/>
    </w:rPr>
  </w:style>
  <w:style w:type="character" w:styleId="69">
    <w:name w:val="footnote reference"/>
    <w:basedOn w:val="165"/>
    <w:uiPriority w:val="99"/>
    <w:unhideWhenUsed/>
    <w:rPr>
      <w:vertAlign w:val="superscript"/>
    </w:rPr>
  </w:style>
  <w:style w:type="paragraph" w:styleId="70">
    <w:name w:val="toc 1"/>
    <w:basedOn w:val="164"/>
    <w:next w:val="164"/>
    <w:uiPriority w:val="39"/>
    <w:unhideWhenUsed/>
    <w:pPr>
      <w:ind w:left="0" w:right="0" w:firstLine="0"/>
      <w:spacing w:after="57"/>
    </w:pPr>
  </w:style>
  <w:style w:type="paragraph" w:styleId="71">
    <w:name w:val="toc 2"/>
    <w:basedOn w:val="164"/>
    <w:next w:val="164"/>
    <w:uiPriority w:val="39"/>
    <w:unhideWhenUsed/>
    <w:pPr>
      <w:ind w:left="283" w:right="0" w:firstLine="0"/>
      <w:spacing w:after="57"/>
    </w:pPr>
  </w:style>
  <w:style w:type="paragraph" w:styleId="72">
    <w:name w:val="toc 3"/>
    <w:basedOn w:val="164"/>
    <w:next w:val="164"/>
    <w:uiPriority w:val="39"/>
    <w:unhideWhenUsed/>
    <w:pPr>
      <w:ind w:left="567" w:right="0" w:firstLine="0"/>
      <w:spacing w:after="57"/>
    </w:pPr>
  </w:style>
  <w:style w:type="paragraph" w:styleId="73">
    <w:name w:val="toc 4"/>
    <w:basedOn w:val="164"/>
    <w:next w:val="164"/>
    <w:uiPriority w:val="39"/>
    <w:unhideWhenUsed/>
    <w:pPr>
      <w:ind w:left="850" w:right="0" w:firstLine="0"/>
      <w:spacing w:after="57"/>
    </w:pPr>
  </w:style>
  <w:style w:type="paragraph" w:styleId="74">
    <w:name w:val="toc 5"/>
    <w:basedOn w:val="164"/>
    <w:next w:val="164"/>
    <w:uiPriority w:val="39"/>
    <w:unhideWhenUsed/>
    <w:pPr>
      <w:ind w:left="1134" w:right="0" w:firstLine="0"/>
      <w:spacing w:after="57"/>
    </w:pPr>
  </w:style>
  <w:style w:type="paragraph" w:styleId="75">
    <w:name w:val="toc 6"/>
    <w:basedOn w:val="164"/>
    <w:next w:val="164"/>
    <w:uiPriority w:val="39"/>
    <w:unhideWhenUsed/>
    <w:pPr>
      <w:ind w:left="1417" w:right="0" w:firstLine="0"/>
      <w:spacing w:after="57"/>
    </w:pPr>
  </w:style>
  <w:style w:type="paragraph" w:styleId="76">
    <w:name w:val="toc 7"/>
    <w:basedOn w:val="164"/>
    <w:next w:val="164"/>
    <w:uiPriority w:val="39"/>
    <w:unhideWhenUsed/>
    <w:pPr>
      <w:ind w:left="1701" w:right="0" w:firstLine="0"/>
      <w:spacing w:after="57"/>
    </w:pPr>
  </w:style>
  <w:style w:type="paragraph" w:styleId="77">
    <w:name w:val="toc 8"/>
    <w:basedOn w:val="164"/>
    <w:next w:val="164"/>
    <w:uiPriority w:val="39"/>
    <w:unhideWhenUsed/>
    <w:pPr>
      <w:ind w:left="1984" w:right="0" w:firstLine="0"/>
      <w:spacing w:after="57"/>
    </w:pPr>
  </w:style>
  <w:style w:type="paragraph" w:styleId="78">
    <w:name w:val="toc 9"/>
    <w:basedOn w:val="164"/>
    <w:next w:val="164"/>
    <w:uiPriority w:val="39"/>
    <w:unhideWhenUsed/>
    <w:pPr>
      <w:ind w:left="2268" w:right="0" w:firstLine="0"/>
      <w:spacing w:after="57"/>
    </w:pPr>
  </w:style>
  <w:style w:type="paragraph" w:styleId="79">
    <w:name w:val="TOC Heading"/>
    <w:uiPriority w:val="39"/>
    <w:unhideWhenUsed/>
  </w:style>
  <w:style w:type="paragraph" w:styleId="164" w:default="1">
    <w:name w:val="Normal"/>
    <w:qFormat/>
    <w:rPr>
      <w:sz w:val="22"/>
      <w:szCs w:val="22"/>
      <w:lang w:eastAsia="en-US"/>
    </w:rPr>
    <w:pPr>
      <w:spacing w:lineRule="auto" w:line="276" w:after="200"/>
    </w:pPr>
  </w:style>
  <w:style w:type="character" w:styleId="165" w:default="1">
    <w:name w:val="Default Paragraph Font"/>
    <w:uiPriority w:val="1"/>
    <w:semiHidden/>
    <w:unhideWhenUsed/>
  </w:style>
  <w:style w:type="table" w:styleId="1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7" w:default="1">
    <w:name w:val="No List"/>
    <w:uiPriority w:val="99"/>
    <w:semiHidden/>
    <w:unhideWhenUsed/>
  </w:style>
  <w:style w:type="paragraph" w:styleId="168">
    <w:name w:val="Normal (Web)"/>
    <w:basedOn w:val="164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169" w:customStyle="1">
    <w:name w:val="apple-converted-space"/>
    <w:basedOn w:val="165"/>
  </w:style>
  <w:style w:type="character" w:styleId="170" w:customStyle="1">
    <w:name w:val="c-macro"/>
    <w:basedOn w:val="165"/>
  </w:style>
  <w:style w:type="character" w:styleId="171" w:customStyle="1">
    <w:name w:val="inlineblock"/>
    <w:basedOn w:val="165"/>
  </w:style>
  <w:style w:type="character" w:styleId="172" w:customStyle="1">
    <w:name w:val="t-pseudolink"/>
    <w:basedOn w:val="165"/>
  </w:style>
  <w:style w:type="character" w:styleId="173" w:customStyle="1">
    <w:name w:val="c-macro-label"/>
    <w:basedOn w:val="165"/>
  </w:style>
  <w:style w:type="table" w:styleId="174">
    <w:name w:val="Table Grid"/>
    <w:basedOn w:val="166"/>
    <w:uiPriority w:val="59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75">
    <w:name w:val="Balloon Text"/>
    <w:basedOn w:val="164"/>
    <w:link w:val="176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176" w:customStyle="1">
    <w:name w:val="Текст выноски Знак"/>
    <w:link w:val="175"/>
    <w:uiPriority w:val="99"/>
    <w:semiHidden/>
    <w:rPr>
      <w:rFonts w:ascii="Tahoma" w:hAnsi="Tahoma" w:cs="Tahoma"/>
      <w:sz w:val="16"/>
      <w:szCs w:val="16"/>
    </w:rPr>
  </w:style>
  <w:style w:type="paragraph" w:styleId="177">
    <w:name w:val="List Paragraph"/>
    <w:basedOn w:val="164"/>
    <w:qFormat/>
    <w:uiPriority w:val="34"/>
    <w:pPr>
      <w:contextualSpacing w:val="true"/>
      <w:ind w:left="720"/>
    </w:pPr>
  </w:style>
  <w:style w:type="paragraph" w:styleId="178">
    <w:name w:val="No Spacing"/>
    <w:qFormat/>
    <w:uiPriority w:val="1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ONLYOFFICE/5.3.3.30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Юрий Владимирович</dc:creator>
  <cp:revision>4</cp:revision>
  <dcterms:created xsi:type="dcterms:W3CDTF">2015-12-19T21:02:00Z</dcterms:created>
  <dcterms:modified xsi:type="dcterms:W3CDTF">2019-09-24T11:18:17Z</dcterms:modified>
</cp:coreProperties>
</file>