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</w:rPr>
      </w:pPr>
      <w:r>
        <w:rPr>
          <w:b/>
          <w:sz w:val="28"/>
        </w:rPr>
        <w:t xml:space="preserve">ДОГОВОР ОКАЗАНИЯ УСЛУГ № [docNum]</w:t>
      </w:r>
      <w:r/>
    </w:p>
    <w:p>
      <w:pPr>
        <w:jc w:val="right"/>
        <w:tabs>
          <w:tab w:val="left" w:pos="356" w:leader="none"/>
        </w:tabs>
      </w:pPr>
      <w:r>
        <w:t xml:space="preserve">[docDate]</w:t>
      </w:r>
      <w:r/>
    </w:p>
    <w:p>
      <w:r>
        <w:t xml:space="preserve">[castUrName] именуемое в дальнейшем «Заказчик», в лице [castDirName], действующего на основании [castDirOsnovan</w:t>
      </w:r>
      <w:r>
        <w:t xml:space="preserve">ie], с одной стороны, и [compUrName], именуемое в дальнейшем «Исполнитель», в лице [compDirStatus] [compDirName], действующего на основании [compDirOsnovanie], с другой стороны, именуемые в дальнейшем «Стороны», заключили настоящий Договор о нижеследующем:</w:t>
      </w:r>
      <w:r/>
    </w:p>
    <w:p>
      <w:pPr>
        <w:rPr>
          <w:b/>
        </w:rPr>
      </w:pPr>
      <w:r>
        <w:rPr>
          <w:b/>
        </w:rPr>
        <w:t xml:space="preserve">1. ПРЕДМЕТ ДОГОВОРА</w:t>
      </w:r>
      <w:r/>
    </w:p>
    <w:p>
      <w:pPr>
        <w:jc w:val="both"/>
      </w:pPr>
      <w:r>
        <w:t xml:space="preserve">1.1. По договору возмездного оказания услуг Исполнитель обязуется по заданию Заказчика оказать услуги, указанные в п.1.2 настоящего Договора, а Заказчик обязуется принять и оплатить эти услуги.</w:t>
      </w:r>
      <w:r/>
    </w:p>
    <w:p>
      <w:r>
        <w:t xml:space="preserve">1.2. Исполнитель обязуется оказать следующие услуги:</w:t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852"/>
        <w:gridCol w:w="1459"/>
        <w:gridCol w:w="1205"/>
        <w:gridCol w:w="1373"/>
        <w:gridCol w:w="1326"/>
      </w:tblGrid>
      <w:tr>
        <w:trPr>
          <w:trHeight w:val="579"/>
        </w:trPr>
        <w:tc>
          <w:tcPr>
            <w:shd w:val="pct10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</w:t>
            </w:r>
            <w:r/>
          </w:p>
        </w:tc>
        <w:tc>
          <w:tcPr>
            <w:shd w:val="pct10" w:color="auto" w:fill="auto"/>
            <w:tcW w:w="38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</w:t>
            </w:r>
            <w:r/>
          </w:p>
        </w:tc>
        <w:tc>
          <w:tcPr>
            <w:shd w:val="pct10" w:color="auto" w:fill="auto"/>
            <w:tcW w:w="14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Ед.изм.</w:t>
            </w:r>
            <w:r/>
          </w:p>
        </w:tc>
        <w:tc>
          <w:tcPr>
            <w:shd w:val="pct10" w:color="auto" w:fill="auto"/>
            <w:tcW w:w="12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Кол-во</w:t>
            </w:r>
            <w:r/>
          </w:p>
        </w:tc>
        <w:tc>
          <w:tcPr>
            <w:shd w:val="pct10" w:color="auto" w:fill="auto"/>
            <w:tcW w:w="13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Цена, руб.</w:t>
            </w:r>
            <w:r/>
          </w:p>
        </w:tc>
        <w:tc>
          <w:tcPr>
            <w:shd w:val="pct10" w:color="auto" w:fill="auto"/>
            <w:tcW w:w="13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Сумма, руб.</w:t>
            </w:r>
            <w:r/>
          </w:p>
        </w:tc>
      </w:tr>
      <w:tr>
        <w:trPr>
          <w:trHeight w:val="403"/>
        </w:trPr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pStyle w:val="176"/>
              <w:rPr>
                <w:lang w:val="en-US"/>
              </w:rPr>
            </w:pPr>
            <w:r>
              <w:rPr>
                <w:lang w:val="en-US"/>
              </w:rPr>
              <w:t xml:space="preserve">[speka.Number;block=tbs:row]</w:t>
            </w:r>
            <w:r/>
          </w:p>
        </w:tc>
        <w:tc>
          <w:tcPr>
            <w:shd w:val="clear" w:color="auto" w:fill="auto"/>
            <w:tcW w:w="3852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[speka.Title]</w:t>
            </w:r>
            <w:r/>
          </w:p>
        </w:tc>
        <w:tc>
          <w:tcPr>
            <w:shd w:val="clear" w:color="auto" w:fill="auto"/>
            <w:tcW w:w="1459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[speka.Edizm]</w:t>
            </w:r>
            <w:r/>
          </w:p>
        </w:tc>
        <w:tc>
          <w:tcPr>
            <w:shd w:val="clear" w:color="auto" w:fill="auto"/>
            <w:tcW w:w="1205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[speka.Kol]</w:t>
            </w:r>
            <w:r/>
          </w:p>
        </w:tc>
        <w:tc>
          <w:tcPr>
            <w:shd w:val="clear" w:color="auto" w:fill="auto"/>
            <w:tcW w:w="1373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[speka.Price]</w:t>
            </w:r>
            <w:r/>
          </w:p>
        </w:tc>
        <w:tc>
          <w:tcPr>
            <w:shd w:val="clear" w:color="auto" w:fill="auto"/>
            <w:tcW w:w="1326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[speka.Sum]</w:t>
            </w:r>
            <w:r/>
          </w:p>
        </w:tc>
      </w:tr>
      <w:tr>
        <w:trPr>
          <w:trHeight w:val="422"/>
        </w:trPr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pStyle w:val="176"/>
            </w:pPr>
            <w:r/>
            <w:r/>
          </w:p>
        </w:tc>
        <w:tc>
          <w:tcPr>
            <w:shd w:val="clear" w:color="auto" w:fill="auto"/>
            <w:tcW w:w="3852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Итого:</w:t>
            </w:r>
            <w:r/>
          </w:p>
        </w:tc>
        <w:tc>
          <w:tcPr>
            <w:shd w:val="clear" w:color="auto" w:fill="auto"/>
            <w:tcW w:w="1459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х</w:t>
            </w:r>
            <w:r/>
          </w:p>
        </w:tc>
        <w:tc>
          <w:tcPr>
            <w:shd w:val="clear" w:color="auto" w:fill="auto"/>
            <w:tcW w:w="1205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[spekaKol]</w:t>
            </w:r>
            <w:r/>
          </w:p>
        </w:tc>
        <w:tc>
          <w:tcPr>
            <w:shd w:val="clear" w:color="auto" w:fill="auto"/>
            <w:tcW w:w="1373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х</w:t>
            </w:r>
            <w:r/>
          </w:p>
        </w:tc>
        <w:tc>
          <w:tcPr>
            <w:shd w:val="clear" w:color="auto" w:fill="auto"/>
            <w:tcW w:w="1326" w:type="dxa"/>
            <w:vAlign w:val="center"/>
            <w:textDirection w:val="lrTb"/>
            <w:noWrap w:val="false"/>
          </w:tcPr>
          <w:p>
            <w:pPr>
              <w:pStyle w:val="176"/>
            </w:pPr>
            <w:r>
              <w:t xml:space="preserve">[spekaSum]</w:t>
            </w:r>
            <w:r/>
          </w:p>
        </w:tc>
      </w:tr>
    </w:tbl>
    <w:p>
      <w:pPr>
        <w:rPr>
          <w:lang w:val="en-US"/>
        </w:rPr>
      </w:pPr>
      <w:r>
        <w:rPr>
          <w:lang w:val="en-US"/>
        </w:rPr>
      </w:r>
      <w:r/>
    </w:p>
    <w:p>
      <w:r>
        <w:t xml:space="preserve">Услуги считаются оказанными после подписания сторонами акта оказанных услуг</w:t>
      </w:r>
      <w:r/>
    </w:p>
    <w:p>
      <w:pPr>
        <w:rPr>
          <w:b/>
        </w:rPr>
      </w:pPr>
      <w:r>
        <w:rPr>
          <w:b/>
        </w:rPr>
        <w:t xml:space="preserve">2. СУММА ДОГОВОРА И ПОРЯДОК РАСЧЕТОВ</w:t>
      </w:r>
      <w:r/>
    </w:p>
    <w:p>
      <w:r>
        <w:t xml:space="preserve">2.1. Сумма настоящего Договора составляет [summaCredit], включая НДС [summaNds].</w:t>
      </w:r>
      <w:r/>
    </w:p>
    <w:p>
      <w:pPr>
        <w:jc w:val="both"/>
      </w:pPr>
      <w:r>
        <w:t xml:space="preserve">2.2. Оплата по настоящему Договору производится в течение 5 дней с момента подписания Договора.</w:t>
      </w:r>
      <w:r/>
    </w:p>
    <w:p>
      <w:pPr>
        <w:rPr>
          <w:b/>
        </w:rPr>
      </w:pPr>
      <w:r>
        <w:rPr>
          <w:b/>
        </w:rPr>
        <w:t xml:space="preserve">3. ПРАВА И ОБЯЗАННОСТИ СТОРОН</w:t>
      </w:r>
      <w:r/>
    </w:p>
    <w:p>
      <w:pPr>
        <w:jc w:val="both"/>
      </w:pPr>
      <w:r>
        <w:t xml:space="preserve">3.1. Исполнитель обязан:</w:t>
      </w:r>
      <w:r/>
    </w:p>
    <w:p>
      <w:pPr>
        <w:jc w:val="both"/>
      </w:pPr>
      <w:r>
        <w:t xml:space="preserve">3.1.1. Оказать услуги надлежащего качества.</w:t>
      </w:r>
      <w:r/>
    </w:p>
    <w:p>
      <w:pPr>
        <w:jc w:val="both"/>
      </w:pPr>
      <w:r>
        <w:t xml:space="preserve">3.1.2. Оказать услуги в полном объеме в срок, указанный в п. 8.1 настоящего Договора.</w:t>
      </w:r>
      <w:r/>
    </w:p>
    <w:p>
      <w:pPr>
        <w:jc w:val="both"/>
      </w:pPr>
      <w:r>
        <w:t xml:space="preserve">3.1.3. Безвозмездно исправить по требованию Заказчика все выявленные недостатки, если в процессе оказания услуг Исполнитель допустил отступление от условий Договора, ухудшившее качество работы, в течение ______ дней.</w:t>
      </w:r>
      <w:r/>
    </w:p>
    <w:p>
      <w:pPr>
        <w:jc w:val="both"/>
      </w:pPr>
      <w:r>
        <w:t xml:space="preserve">3.1.4. Выполнить работу лично или с привлечением третьих лиц.</w:t>
      </w:r>
      <w:r/>
    </w:p>
    <w:p>
      <w:pPr>
        <w:jc w:val="both"/>
      </w:pPr>
      <w:r>
        <w:t xml:space="preserve">3.2. Заказчик обязан:</w:t>
      </w:r>
      <w:r/>
    </w:p>
    <w:p>
      <w:pPr>
        <w:jc w:val="both"/>
      </w:pPr>
      <w:r>
        <w:t xml:space="preserve">3.2.1. Оплатить услуги по цене, указанной в п. 2.1. настоящего Договора.</w:t>
      </w:r>
      <w:r/>
    </w:p>
    <w:p>
      <w:pPr>
        <w:jc w:val="both"/>
      </w:pPr>
      <w:r>
        <w:t xml:space="preserve">3.4. Заказчик имеет право:</w:t>
      </w:r>
      <w:r/>
    </w:p>
    <w:p>
      <w:pPr>
        <w:jc w:val="both"/>
      </w:pPr>
      <w:r>
        <w:t xml:space="preserve">3.4.1. Во всякое время проверять ход и качество работы, выполняемой Исполнителем, не вмешиваясь в его деятельность.</w:t>
      </w:r>
      <w:r/>
    </w:p>
    <w:p>
      <w:pPr>
        <w:jc w:val="both"/>
      </w:pPr>
      <w:r>
        <w:t xml:space="preserve">3.4.2. Отказаться от исполнения Договора в любое время до подписания акта оказанных услуг, уплатив Исполнителю часть установленной цены пропорционально части оказанных услуг, выполненной до получения извещения об отказе Заказчика от исполнения договора.</w:t>
      </w:r>
      <w:r/>
    </w:p>
    <w:p>
      <w:pPr>
        <w:rPr>
          <w:b/>
        </w:rPr>
      </w:pPr>
      <w:r>
        <w:rPr>
          <w:b/>
        </w:rPr>
        <w:t xml:space="preserve">4. ОТВЕТСТВЕННОСТЬ СТОРОН</w:t>
      </w:r>
      <w:r/>
    </w:p>
    <w:p>
      <w:pPr>
        <w:jc w:val="both"/>
      </w:pPr>
      <w:r>
        <w:t xml:space="preserve">4.1. За нарушение срока оказания услуг, указанного в п.8.1 настоящего Договора, Исполнитель, при наличии письменной претензии, уплачивает Заказчику пеню в размере ___ % от суммы Договора за каждый день просрочки.</w:t>
      </w:r>
      <w:r/>
    </w:p>
    <w:p>
      <w:pPr>
        <w:jc w:val="both"/>
      </w:pPr>
      <w:r>
        <w:t xml:space="preserve">4.2. При несоблюдении предусмотренных настоящим Договором сроков расчета за оказанные услуги Заказчик, при наличии письменной претензии, уплачивает Исполнителю пеню в размере _____ % не перечисленной в срок суммы за каждый день просрочки.</w:t>
      </w:r>
      <w:r/>
    </w:p>
    <w:p>
      <w:pPr>
        <w:jc w:val="both"/>
      </w:pPr>
      <w:r>
        <w:t xml:space="preserve">4.3. Уплата неустойки не освобождает Исполнителя от выполнения лежащих на нем обязательств или устранения нарушений.</w:t>
      </w:r>
      <w:r/>
    </w:p>
    <w:p>
      <w:pPr>
        <w:rPr>
          <w:b/>
        </w:rPr>
      </w:pPr>
      <w:r>
        <w:rPr>
          <w:b/>
        </w:rPr>
        <w:t xml:space="preserve">5. ДЕЙСТВИЕ ОБСТОЯТЕЛЬСТВ НЕПРЕОДОЛИМОЙ СИЛЫ</w:t>
      </w:r>
      <w:r/>
    </w:p>
    <w:p>
      <w:pPr>
        <w:jc w:val="both"/>
      </w:pPr>
      <w:r>
        <w:t xml:space="preserve">5.1.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 е. чрезвычайных и непредотврати</w:t>
      </w:r>
      <w:r>
        <w:t xml:space="preserve">мых при данных условиях обстоятельств, в том числе: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издание актов государственных органов.</w:t>
      </w:r>
      <w:r/>
    </w:p>
    <w:p>
      <w:pPr>
        <w:jc w:val="both"/>
      </w:pPr>
      <w:r>
        <w:t xml:space="preserve">5.2.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/>
    </w:p>
    <w:p>
      <w:pPr>
        <w:jc w:val="both"/>
      </w:pPr>
      <w:r>
        <w:t xml:space="preserve">5.3.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/>
    </w:p>
    <w:p>
      <w:pPr>
        <w:jc w:val="both"/>
      </w:pPr>
      <w:r>
        <w:t xml:space="preserve">5.4.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/>
    </w:p>
    <w:p>
      <w:pPr>
        <w:rPr>
          <w:b/>
        </w:rPr>
      </w:pPr>
      <w:r>
        <w:rPr>
          <w:b/>
        </w:rPr>
        <w:t xml:space="preserve">6. ПОРЯДОК РАЗРЕШЕНИЯ СПОРОВ</w:t>
      </w:r>
      <w:r/>
    </w:p>
    <w:p>
      <w:pPr>
        <w:jc w:val="both"/>
      </w:pPr>
      <w:r>
        <w:t xml:space="preserve">6.1.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  <w:r/>
    </w:p>
    <w:p>
      <w:pPr>
        <w:jc w:val="both"/>
      </w:pPr>
      <w:r>
        <w:t xml:space="preserve">6.2. В случае невозможности разрешения разногласий путем переговоров они подлежат рассмотрению в арбитражном суде согласно порядку, установленному законодательством Российской Федерации.</w:t>
      </w:r>
      <w:r/>
    </w:p>
    <w:p>
      <w:pPr>
        <w:rPr>
          <w:b/>
        </w:rPr>
      </w:pPr>
      <w:r>
        <w:rPr>
          <w:b/>
        </w:rPr>
        <w:t xml:space="preserve">7. ПОРЯДОК ИЗМЕНЕНИЯ И РАСТОРЖЕНИЯ ДОГОВОРА</w:t>
      </w:r>
      <w:r/>
    </w:p>
    <w:p>
      <w:pPr>
        <w:jc w:val="both"/>
      </w:pPr>
      <w:r>
        <w:t xml:space="preserve">7.1.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  <w:r/>
    </w:p>
    <w:p>
      <w:pPr>
        <w:jc w:val="both"/>
      </w:pPr>
      <w:r>
        <w:t xml:space="preserve">7.2. Досрочное расторжение Договора может иметь место в соответствии с п. 5.4 настоящего Договора либо по соглашению Сторон, либо на основаниях, предусмотренных законодательством Российской Федерации.</w:t>
      </w:r>
      <w:r/>
    </w:p>
    <w:p>
      <w:pPr>
        <w:jc w:val="both"/>
      </w:pPr>
      <w:r>
        <w:t xml:space="preserve">7.3. Заказчик вправе в одностороннем порядке отказаться от исполнения настоящего Договора при условии оплаты Исполнителю фактически понесенных им расходов.</w:t>
      </w:r>
      <w:r/>
    </w:p>
    <w:p>
      <w:pPr>
        <w:jc w:val="both"/>
      </w:pPr>
      <w:r>
        <w:t xml:space="preserve">7.4. Исполнитель вправе в одностороннем порядке отказаться от исполнения настоящего Договора лишь при условии полного возмещения Заказчику убытков.</w:t>
      </w:r>
      <w:r/>
    </w:p>
    <w:p>
      <w:pPr>
        <w:jc w:val="both"/>
      </w:pPr>
      <w:r>
        <w:t xml:space="preserve">7.5. 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______ дней до предполагаемого дня расторжения настоящего Договора.</w:t>
      </w:r>
      <w:r/>
    </w:p>
    <w:p>
      <w:pPr>
        <w:rPr>
          <w:b/>
        </w:rPr>
      </w:pPr>
      <w:r>
        <w:rPr>
          <w:b/>
        </w:rPr>
        <w:t xml:space="preserve">8. ПРОЧИЕ УСЛОВИЯ</w:t>
      </w:r>
      <w:r/>
    </w:p>
    <w:p>
      <w:pPr>
        <w:jc w:val="both"/>
      </w:pPr>
      <w:r>
        <w:t xml:space="preserve">8.1. Настоящий Договор вступает в действие с [do</w:t>
      </w:r>
      <w:r>
        <w:rPr>
          <w:lang w:val="en-US"/>
        </w:rPr>
        <w:t xml:space="preserve">c</w:t>
      </w:r>
      <w:r>
        <w:t xml:space="preserve">DStart] и действует до полного исполнения обязательств Сторонами</w:t>
      </w:r>
      <w:r/>
    </w:p>
    <w:p>
      <w:pPr>
        <w:jc w:val="both"/>
      </w:pPr>
      <w:r>
        <w:t xml:space="preserve">8.2. В случае изменения у </w:t>
      </w:r>
      <w:r>
        <w:t xml:space="preserve">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Сторону, причем в письме необходимо указать, что оно является неотъемлемой частью настоящего Договора.</w:t>
      </w:r>
      <w:r/>
    </w:p>
    <w:p>
      <w:pPr>
        <w:jc w:val="both"/>
      </w:pPr>
      <w:r>
        <w:t xml:space="preserve">8.3. Настоящий Договор составлен в двух экземплярах, имеющих одинаковую юридическую силу, по одному экземпляру для каждой из Сторон.</w:t>
      </w:r>
      <w:r/>
    </w:p>
    <w:p>
      <w:r>
        <w:t xml:space="preserve">8.4. Следующие приложения являются неотъемлемой частью настоящего Договора:</w:t>
      </w:r>
      <w:r/>
    </w:p>
    <w:p>
      <w:pPr>
        <w:pStyle w:val="175"/>
        <w:numPr>
          <w:ilvl w:val="0"/>
          <w:numId w:val="1"/>
        </w:numPr>
      </w:pPr>
      <w:r>
        <w:t xml:space="preserve">__________________________________________________</w:t>
      </w:r>
      <w:r/>
    </w:p>
    <w:p>
      <w:pPr>
        <w:pStyle w:val="175"/>
        <w:numPr>
          <w:ilvl w:val="0"/>
          <w:numId w:val="1"/>
        </w:numPr>
      </w:pPr>
      <w:r>
        <w:t xml:space="preserve"> __________________________________________________</w:t>
      </w:r>
      <w:r/>
    </w:p>
    <w:p>
      <w:r>
        <w:t xml:space="preserve">8.5. Другие условия по усмотрению Сторон __________________________________________________________________________________________________________________________________________________________________________</w:t>
      </w:r>
      <w:r/>
    </w:p>
    <w:p>
      <w:pPr>
        <w:jc w:val="both"/>
      </w:pPr>
      <w:r>
        <w:t xml:space="preserve">8.6. Вопросы, не урегулированные настоящим Договором, разрешаются в соответствии с действующим законодательством Российской Федерации.</w:t>
      </w:r>
      <w:r/>
    </w:p>
    <w:p>
      <w:pPr>
        <w:rPr>
          <w:b/>
        </w:rPr>
      </w:pPr>
      <w:r>
        <w:rPr>
          <w:b/>
        </w:rPr>
        <w:t xml:space="preserve">9. МЕСТОНАХОЖДЕНИЕ И БАНКОВСКИЕ РЕКВИЗИТЫ СТОРОН</w:t>
      </w:r>
      <w:r/>
    </w:p>
    <w:tbl>
      <w:tblPr>
        <w:tblW w:w="5000" w:type="pct"/>
        <w:tblCellSpacing w:w="15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49"/>
        <w:gridCol w:w="226"/>
        <w:gridCol w:w="4848"/>
      </w:tblGrid>
      <w:tr>
        <w:trPr>
          <w:cantSplit/>
          <w:tblCellSpacing w:w="15" w:type="dxa"/>
        </w:trPr>
        <w:tc>
          <w:tcPr>
            <w:tcW w:w="2450" w:type="pct"/>
            <w:textDirection w:val="lrTb"/>
            <w:noWrap w:val="false"/>
          </w:tcPr>
          <w:p>
            <w:pPr>
              <w:rPr>
                <w:b/>
                <w:lang w:val="en-US"/>
              </w:rPr>
            </w:pPr>
            <w:r>
              <w:rPr>
                <w:b/>
              </w:rPr>
              <w:t xml:space="preserve">ЗАКАЗЧИК</w:t>
            </w:r>
            <w:r>
              <w:rPr>
                <w:b/>
                <w:lang w:val="en-US"/>
              </w:rPr>
              <w:t xml:space="preserve">:</w:t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[castUrName]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ИНН</w:t>
            </w:r>
            <w:r>
              <w:rPr>
                <w:lang w:val="en-US"/>
              </w:rPr>
              <w:t xml:space="preserve">: [castInn], </w:t>
            </w:r>
            <w:r>
              <w:t xml:space="preserve">КПП</w:t>
            </w:r>
            <w:r>
              <w:rPr>
                <w:lang w:val="en-US"/>
              </w:rPr>
              <w:t xml:space="preserve">: [castKpp]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ОГРН</w:t>
            </w:r>
            <w:r>
              <w:rPr>
                <w:lang w:val="en-US"/>
              </w:rPr>
              <w:t xml:space="preserve">: [castOgrn]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Адрес</w:t>
            </w:r>
            <w:r>
              <w:rPr>
                <w:lang w:val="en-US"/>
              </w:rPr>
              <w:t xml:space="preserve">: [castUrAddr]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Р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[castBankRs]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Банк</w:t>
            </w:r>
            <w:r>
              <w:rPr>
                <w:lang w:val="en-US"/>
              </w:rPr>
              <w:t xml:space="preserve">: [castBankName]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БИК</w:t>
            </w:r>
            <w:r>
              <w:rPr>
                <w:lang w:val="en-US"/>
              </w:rPr>
              <w:t xml:space="preserve">: [castBankBik]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К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[castBankKs]</w:t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___________________ / [castDirSignature] /</w:t>
            </w:r>
            <w:r/>
          </w:p>
          <w:p>
            <w:pPr>
              <w:rPr>
                <w:lang w:val="en-US"/>
              </w:rPr>
            </w:pPr>
            <w:r>
              <w:t xml:space="preserve">М</w:t>
            </w:r>
            <w:r>
              <w:rPr>
                <w:lang w:val="en-US"/>
              </w:rPr>
              <w:t xml:space="preserve">.</w:t>
            </w:r>
            <w:r>
              <w:t xml:space="preserve">П</w:t>
            </w:r>
            <w:r>
              <w:rPr>
                <w:lang w:val="en-US"/>
              </w:rPr>
              <w:t xml:space="preserve">.</w:t>
            </w:r>
            <w:r/>
          </w:p>
        </w:tc>
        <w:tc>
          <w:tcPr>
            <w:tcW w:w="100" w:type="pct"/>
            <w:vAlign w:val="center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 </w:t>
            </w:r>
            <w:r/>
          </w:p>
        </w:tc>
        <w:tc>
          <w:tcPr>
            <w:tcW w:w="2450" w:type="pct"/>
            <w:textDirection w:val="lrTb"/>
            <w:noWrap w:val="false"/>
          </w:tcPr>
          <w:p>
            <w:pPr>
              <w:rPr>
                <w:b/>
                <w:lang w:val="en-US"/>
              </w:rPr>
            </w:pPr>
            <w:r>
              <w:rPr>
                <w:b/>
              </w:rPr>
              <w:t xml:space="preserve">ИСПОЛНИТЕЛЬ</w:t>
            </w:r>
            <w:r>
              <w:rPr>
                <w:b/>
                <w:lang w:val="en-US"/>
              </w:rPr>
              <w:t xml:space="preserve">:</w:t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[compUrName]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ИНН</w:t>
            </w:r>
            <w:r>
              <w:rPr>
                <w:lang w:val="en-US"/>
              </w:rPr>
              <w:t xml:space="preserve">: [compInn], </w:t>
            </w:r>
            <w:r>
              <w:t xml:space="preserve">КПП</w:t>
            </w:r>
            <w:r>
              <w:rPr>
                <w:lang w:val="en-US"/>
              </w:rPr>
              <w:t xml:space="preserve">: [compKpp]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ОГРН</w:t>
            </w:r>
            <w:r>
              <w:rPr>
                <w:lang w:val="en-US"/>
              </w:rPr>
              <w:t xml:space="preserve">: [compOgrn]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Адрес</w:t>
            </w:r>
            <w:r>
              <w:rPr>
                <w:lang w:val="en-US"/>
              </w:rPr>
              <w:t xml:space="preserve">: 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Р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[compBankRs]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Банк</w:t>
            </w:r>
            <w:r>
              <w:rPr>
                <w:lang w:val="en-US"/>
              </w:rPr>
              <w:t xml:space="preserve">: [compBankName]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БИК</w:t>
            </w:r>
            <w:r>
              <w:rPr>
                <w:lang w:val="en-US"/>
              </w:rPr>
              <w:t xml:space="preserve">: [compBankBik]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К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[compBankKs]</w:t>
            </w:r>
            <w:r/>
          </w:p>
          <w:p>
            <w:pPr>
              <w:rPr>
                <w:lang w:val="en-US"/>
              </w:rPr>
            </w:pPr>
            <w:r>
              <w:rPr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33551</wp:posOffset>
                      </wp:positionV>
                      <wp:extent cx="1663065" cy="1663065"/>
                      <wp:effectExtent l="0" t="0" r="0" b="0"/>
                      <wp:wrapNone/>
                      <wp:docPr id="1" name="Рисунок 1" descr="[onshow.compSignature;ope=changepic;from=compSignature;tagpos=inside;]" hidden="false"/>
                      <wp:cNvGraphicFramePr>
                        <a:graphicFrameLocks xmlns:a="http://schemas.openxmlformats.org/drawingml/2006/main" noChangeAspect="true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Рисунок 1" descr="[onshow.compSignature;ope=changepic;from=compSignature;tagpos=inside;]" hidden="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663065" cy="16630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mso-wrap-distance-left:9.0pt;mso-wrap-distance-top:0.0pt;mso-wrap-distance-right:9.0pt;mso-wrap-distance-bottom:0.0pt;z-index:251659264;o:allowoverlap:true;o:allowincell:true;mso-position-horizontal-relative:text;margin-left:0.2pt;mso-position-horizontal:absolute;mso-position-vertical-relative:text;margin-top:2.6pt;mso-position-vertical:absolute;width:130.9pt;height:130.9pt;rotation:0;" stroked="false">
                      <v:path textboxrect="0,0,0,0"/>
                      <v:imagedata r:id="rId8" o:title=""/>
                    </v:shape>
                  </w:pict>
                </mc:Fallback>
              </mc:AlternateContent>
            </w:r>
            <w:r/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______________________/ [compDirSignature] /</w:t>
            </w:r>
            <w:r/>
          </w:p>
          <w:p>
            <w:pPr>
              <w:rPr>
                <w:lang w:val="en-US"/>
              </w:rPr>
            </w:pPr>
            <w:r>
              <w:t xml:space="preserve">М</w:t>
            </w:r>
            <w:r>
              <w:rPr>
                <w:lang w:val="en-US"/>
              </w:rPr>
              <w:t xml:space="preserve">.</w:t>
            </w:r>
            <w:r>
              <w:t xml:space="preserve">П</w:t>
            </w:r>
            <w:r>
              <w:rPr>
                <w:lang w:val="en-US"/>
              </w:rPr>
              <w:t xml:space="preserve">.</w:t>
            </w:r>
            <w:r>
              <w:rPr>
                <w:lang w:eastAsia="ru-RU"/>
              </w:rPr>
              <w:t xml:space="preserve"> </w:t>
            </w:r>
            <w:r/>
          </w:p>
        </w:tc>
      </w:tr>
    </w:tbl>
    <w:p>
      <w:r/>
      <w:bookmarkStart w:id="0" w:name="_GoBack"/>
      <w:r/>
      <w:bookmarkEnd w:id="0"/>
      <w:r/>
      <w:r/>
    </w:p>
    <w:sectPr>
      <w:footnotePr/>
      <w:type w:val="nextPage"/>
      <w:pgSz w:w="11906" w:h="16838" w:orient="portrait"/>
      <w:pgMar w:top="851" w:right="707" w:bottom="709" w:left="1276" w:header="720" w:footer="720" w:gutter="0"/>
      <w:cols w:num="1" w:sep="0" w:space="720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/>
        <w:color w:val="auto"/>
        <w:spacing w:val="0"/>
        <w:position w:val="0"/>
        <w:sz w:val="20"/>
        <w:szCs w:val="22"/>
        <w:lang w:val="ru-RU" w:bidi="ar-SA" w:eastAsia="ru-RU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162"/>
    <w:next w:val="162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163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162"/>
    <w:next w:val="162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163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162"/>
    <w:next w:val="162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163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162"/>
    <w:next w:val="162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163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162"/>
    <w:next w:val="162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163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162"/>
    <w:next w:val="162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163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162"/>
    <w:next w:val="162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163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162"/>
    <w:next w:val="162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163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162"/>
    <w:next w:val="162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163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162"/>
    <w:next w:val="162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163"/>
    <w:link w:val="32"/>
    <w:uiPriority w:val="10"/>
    <w:rPr>
      <w:sz w:val="48"/>
      <w:szCs w:val="48"/>
    </w:rPr>
  </w:style>
  <w:style w:type="paragraph" w:styleId="34">
    <w:name w:val="Subtitle"/>
    <w:basedOn w:val="162"/>
    <w:next w:val="162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163"/>
    <w:link w:val="34"/>
    <w:uiPriority w:val="11"/>
    <w:rPr>
      <w:sz w:val="24"/>
      <w:szCs w:val="24"/>
    </w:rPr>
  </w:style>
  <w:style w:type="paragraph" w:styleId="36">
    <w:name w:val="Quote"/>
    <w:basedOn w:val="162"/>
    <w:next w:val="162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162"/>
    <w:next w:val="162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162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163"/>
    <w:link w:val="40"/>
    <w:uiPriority w:val="99"/>
  </w:style>
  <w:style w:type="paragraph" w:styleId="42">
    <w:name w:val="Footer"/>
    <w:basedOn w:val="162"/>
    <w:link w:val="4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163"/>
    <w:link w:val="42"/>
    <w:uiPriority w:val="99"/>
  </w:style>
  <w:style w:type="table" w:styleId="45">
    <w:name w:val="Lined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6">
    <w:name w:val="Lined - Accent 1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7">
    <w:name w:val="Lined - Accent 2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8">
    <w:name w:val="Lined - Accent 3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9">
    <w:name w:val="Lined - Accent 4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0">
    <w:name w:val="Lined - Accent 5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1">
    <w:name w:val="Lined - Accent 6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52">
    <w:name w:val="Bordered"/>
    <w:basedOn w:val="1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53">
    <w:name w:val="Bordered - Accent 1"/>
    <w:basedOn w:val="1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54">
    <w:name w:val="Bordered - Accent 2"/>
    <w:basedOn w:val="1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55">
    <w:name w:val="Bordered - Accent 3"/>
    <w:basedOn w:val="1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6">
    <w:name w:val="Bordered - Accent 4"/>
    <w:basedOn w:val="1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7">
    <w:name w:val="Bordered - Accent 5"/>
    <w:basedOn w:val="1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8">
    <w:name w:val="Bordered - Accent 6"/>
    <w:basedOn w:val="16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9">
    <w:name w:val="Bordered &amp; Lined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60">
    <w:name w:val="Bordered &amp; Lined - Accent 1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61">
    <w:name w:val="Bordered &amp; Lined - Accent 2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62">
    <w:name w:val="Bordered &amp; Lined - Accent 3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63">
    <w:name w:val="Bordered &amp; Lined - Accent 4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64">
    <w:name w:val="Bordered &amp; Lined - Accent 5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65">
    <w:name w:val="Bordered &amp; Lined - Accent 6"/>
    <w:basedOn w:val="16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6">
    <w:name w:val="Hyperlink"/>
    <w:uiPriority w:val="99"/>
    <w:unhideWhenUsed/>
    <w:rPr>
      <w:color w:val="0000FF" w:themeColor="hyperlink"/>
      <w:u w:val="single"/>
    </w:rPr>
  </w:style>
  <w:style w:type="paragraph" w:styleId="67">
    <w:name w:val="footnote text"/>
    <w:basedOn w:val="162"/>
    <w:link w:val="68"/>
    <w:uiPriority w:val="99"/>
    <w:semiHidden/>
    <w:unhideWhenUsed/>
    <w:rPr>
      <w:sz w:val="18"/>
    </w:rPr>
    <w:pPr>
      <w:spacing w:lineRule="auto" w:line="240" w:after="40"/>
    </w:pPr>
  </w:style>
  <w:style w:type="character" w:styleId="68">
    <w:name w:val="Footnote Text Char"/>
    <w:link w:val="67"/>
    <w:uiPriority w:val="99"/>
    <w:rPr>
      <w:sz w:val="18"/>
    </w:rPr>
  </w:style>
  <w:style w:type="character" w:styleId="69">
    <w:name w:val="footnote reference"/>
    <w:basedOn w:val="163"/>
    <w:uiPriority w:val="99"/>
    <w:unhideWhenUsed/>
    <w:rPr>
      <w:vertAlign w:val="superscript"/>
    </w:rPr>
  </w:style>
  <w:style w:type="paragraph" w:styleId="70">
    <w:name w:val="toc 1"/>
    <w:basedOn w:val="162"/>
    <w:next w:val="162"/>
    <w:uiPriority w:val="39"/>
    <w:unhideWhenUsed/>
    <w:pPr>
      <w:ind w:left="0" w:right="0" w:firstLine="0"/>
      <w:spacing w:after="57"/>
    </w:pPr>
  </w:style>
  <w:style w:type="paragraph" w:styleId="71">
    <w:name w:val="toc 2"/>
    <w:basedOn w:val="162"/>
    <w:next w:val="162"/>
    <w:uiPriority w:val="39"/>
    <w:unhideWhenUsed/>
    <w:pPr>
      <w:ind w:left="283" w:right="0" w:firstLine="0"/>
      <w:spacing w:after="57"/>
    </w:pPr>
  </w:style>
  <w:style w:type="paragraph" w:styleId="72">
    <w:name w:val="toc 3"/>
    <w:basedOn w:val="162"/>
    <w:next w:val="162"/>
    <w:uiPriority w:val="39"/>
    <w:unhideWhenUsed/>
    <w:pPr>
      <w:ind w:left="567" w:right="0" w:firstLine="0"/>
      <w:spacing w:after="57"/>
    </w:pPr>
  </w:style>
  <w:style w:type="paragraph" w:styleId="73">
    <w:name w:val="toc 4"/>
    <w:basedOn w:val="162"/>
    <w:next w:val="162"/>
    <w:uiPriority w:val="39"/>
    <w:unhideWhenUsed/>
    <w:pPr>
      <w:ind w:left="850" w:right="0" w:firstLine="0"/>
      <w:spacing w:after="57"/>
    </w:pPr>
  </w:style>
  <w:style w:type="paragraph" w:styleId="74">
    <w:name w:val="toc 5"/>
    <w:basedOn w:val="162"/>
    <w:next w:val="162"/>
    <w:uiPriority w:val="39"/>
    <w:unhideWhenUsed/>
    <w:pPr>
      <w:ind w:left="1134" w:right="0" w:firstLine="0"/>
      <w:spacing w:after="57"/>
    </w:pPr>
  </w:style>
  <w:style w:type="paragraph" w:styleId="75">
    <w:name w:val="toc 6"/>
    <w:basedOn w:val="162"/>
    <w:next w:val="162"/>
    <w:uiPriority w:val="39"/>
    <w:unhideWhenUsed/>
    <w:pPr>
      <w:ind w:left="1417" w:right="0" w:firstLine="0"/>
      <w:spacing w:after="57"/>
    </w:pPr>
  </w:style>
  <w:style w:type="paragraph" w:styleId="76">
    <w:name w:val="toc 7"/>
    <w:basedOn w:val="162"/>
    <w:next w:val="162"/>
    <w:uiPriority w:val="39"/>
    <w:unhideWhenUsed/>
    <w:pPr>
      <w:ind w:left="1701" w:right="0" w:firstLine="0"/>
      <w:spacing w:after="57"/>
    </w:pPr>
  </w:style>
  <w:style w:type="paragraph" w:styleId="77">
    <w:name w:val="toc 8"/>
    <w:basedOn w:val="162"/>
    <w:next w:val="162"/>
    <w:uiPriority w:val="39"/>
    <w:unhideWhenUsed/>
    <w:pPr>
      <w:ind w:left="1984" w:right="0" w:firstLine="0"/>
      <w:spacing w:after="57"/>
    </w:pPr>
  </w:style>
  <w:style w:type="paragraph" w:styleId="78">
    <w:name w:val="toc 9"/>
    <w:basedOn w:val="162"/>
    <w:next w:val="162"/>
    <w:uiPriority w:val="39"/>
    <w:unhideWhenUsed/>
    <w:pPr>
      <w:ind w:left="2268" w:right="0" w:firstLine="0"/>
      <w:spacing w:after="57"/>
    </w:pPr>
  </w:style>
  <w:style w:type="paragraph" w:styleId="79">
    <w:name w:val="TOC Heading"/>
    <w:uiPriority w:val="39"/>
    <w:unhideWhenUsed/>
  </w:style>
  <w:style w:type="paragraph" w:styleId="162" w:default="1">
    <w:name w:val="Normal"/>
    <w:qFormat/>
    <w:rPr>
      <w:sz w:val="22"/>
      <w:szCs w:val="22"/>
      <w:lang w:eastAsia="en-US"/>
    </w:rPr>
    <w:pPr>
      <w:spacing w:lineRule="auto" w:line="276" w:after="200"/>
    </w:pPr>
  </w:style>
  <w:style w:type="character" w:styleId="163" w:default="1">
    <w:name w:val="Default Paragraph Font"/>
    <w:uiPriority w:val="1"/>
    <w:semiHidden/>
    <w:unhideWhenUsed/>
  </w:style>
  <w:style w:type="table" w:styleId="1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65" w:default="1">
    <w:name w:val="No List"/>
    <w:uiPriority w:val="99"/>
    <w:semiHidden/>
    <w:unhideWhenUsed/>
  </w:style>
  <w:style w:type="paragraph" w:styleId="166">
    <w:name w:val="Normal (Web)"/>
    <w:basedOn w:val="162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167" w:customStyle="1">
    <w:name w:val="apple-converted-space"/>
    <w:basedOn w:val="163"/>
  </w:style>
  <w:style w:type="character" w:styleId="168" w:customStyle="1">
    <w:name w:val="c-macro"/>
    <w:basedOn w:val="163"/>
  </w:style>
  <w:style w:type="character" w:styleId="169" w:customStyle="1">
    <w:name w:val="inlineblock"/>
    <w:basedOn w:val="163"/>
  </w:style>
  <w:style w:type="character" w:styleId="170" w:customStyle="1">
    <w:name w:val="t-pseudolink"/>
    <w:basedOn w:val="163"/>
  </w:style>
  <w:style w:type="character" w:styleId="171" w:customStyle="1">
    <w:name w:val="c-macro-label"/>
    <w:basedOn w:val="163"/>
  </w:style>
  <w:style w:type="table" w:styleId="172">
    <w:name w:val="Table Grid"/>
    <w:basedOn w:val="164"/>
    <w:uiPriority w:val="59"/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173">
    <w:name w:val="Balloon Text"/>
    <w:basedOn w:val="162"/>
    <w:link w:val="174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174" w:customStyle="1">
    <w:name w:val="Текст выноски Знак"/>
    <w:link w:val="173"/>
    <w:uiPriority w:val="99"/>
    <w:semiHidden/>
    <w:rPr>
      <w:rFonts w:ascii="Tahoma" w:hAnsi="Tahoma" w:cs="Tahoma"/>
      <w:sz w:val="16"/>
      <w:szCs w:val="16"/>
    </w:rPr>
  </w:style>
  <w:style w:type="paragraph" w:styleId="175">
    <w:name w:val="List Paragraph"/>
    <w:basedOn w:val="162"/>
    <w:qFormat/>
    <w:uiPriority w:val="34"/>
    <w:pPr>
      <w:contextualSpacing w:val="true"/>
      <w:ind w:left="720"/>
    </w:pPr>
  </w:style>
  <w:style w:type="paragraph" w:styleId="176">
    <w:name w:val="No Spacing"/>
    <w:qFormat/>
    <w:uiPriority w:val="1"/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ONLYOFFICE/5.3.3.30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Юрий Владимирович</dc:creator>
  <cp:revision>24</cp:revision>
  <dcterms:created xsi:type="dcterms:W3CDTF">2015-12-06T10:40:00Z</dcterms:created>
  <dcterms:modified xsi:type="dcterms:W3CDTF">2019-09-24T11:17:46Z</dcterms:modified>
</cp:coreProperties>
</file>